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FFFF" w:themeColor="background1"/>
          <w:sz w:val="32"/>
          <w:szCs w:val="32"/>
          <w:highlight w:val="blue"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501327" w:rsidRDefault="00D63ED3" w:rsidP="00501327">
          <w:pPr>
            <w:rPr>
              <w:color w:val="FFFFFF" w:themeColor="background1"/>
              <w:sz w:val="32"/>
              <w:szCs w:val="32"/>
            </w:rPr>
          </w:pPr>
          <w:r w:rsidRPr="00501327">
            <w:rPr>
              <w:color w:val="FFFFFF" w:themeColor="background1"/>
              <w:sz w:val="32"/>
              <w:szCs w:val="32"/>
              <w:highlight w:val="blue"/>
            </w:rPr>
            <w:t xml:space="preserve">AUTEX Top </w:t>
          </w:r>
          <w:proofErr w:type="spellStart"/>
          <w:r w:rsidRPr="00501327">
            <w:rPr>
              <w:color w:val="FFFFFF" w:themeColor="background1"/>
              <w:sz w:val="32"/>
              <w:szCs w:val="32"/>
              <w:highlight w:val="blue"/>
            </w:rPr>
            <w:t>Diesel</w:t>
          </w:r>
          <w:proofErr w:type="spellEnd"/>
          <w:r w:rsidRPr="00501327">
            <w:rPr>
              <w:color w:val="FFFFFF" w:themeColor="background1"/>
              <w:sz w:val="32"/>
              <w:szCs w:val="32"/>
              <w:highlight w:val="blue"/>
            </w:rPr>
            <w:t xml:space="preserve"> </w:t>
          </w:r>
          <w:r w:rsidR="00B26C0F">
            <w:rPr>
              <w:color w:val="FFFFFF" w:themeColor="background1"/>
              <w:sz w:val="32"/>
              <w:szCs w:val="32"/>
              <w:highlight w:val="blue"/>
            </w:rPr>
            <w:t xml:space="preserve">MS </w:t>
          </w:r>
          <w:r w:rsidR="00C5240C" w:rsidRPr="00501327">
            <w:rPr>
              <w:color w:val="FFFFFF" w:themeColor="background1"/>
              <w:sz w:val="32"/>
              <w:szCs w:val="32"/>
              <w:highlight w:val="blue"/>
            </w:rPr>
            <w:t>10</w:t>
          </w:r>
          <w:r w:rsidRPr="00501327">
            <w:rPr>
              <w:color w:val="FFFFFF" w:themeColor="background1"/>
              <w:sz w:val="32"/>
              <w:szCs w:val="32"/>
              <w:highlight w:val="blue"/>
            </w:rPr>
            <w:t>W-</w:t>
          </w:r>
          <w:r w:rsidR="00C5240C" w:rsidRPr="00501327">
            <w:rPr>
              <w:color w:val="FFFFFF" w:themeColor="background1"/>
              <w:sz w:val="32"/>
              <w:szCs w:val="32"/>
              <w:highlight w:val="blue"/>
            </w:rPr>
            <w:t>4</w:t>
          </w:r>
          <w:r w:rsidR="0015326D" w:rsidRPr="00501327">
            <w:rPr>
              <w:color w:val="FFFFFF" w:themeColor="background1"/>
              <w:sz w:val="32"/>
              <w:szCs w:val="32"/>
              <w:highlight w:val="blue"/>
            </w:rPr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237B8">
        <w:tc>
          <w:tcPr>
            <w:tcW w:w="1542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30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</w:tcPr>
          <w:p w:rsidR="002179B6" w:rsidRPr="006237B8" w:rsidRDefault="000D7F95" w:rsidP="006237B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Top </w:t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Diesel</w:t>
            </w:r>
            <w:proofErr w:type="spellEnd"/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26C0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MS 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10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W-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0 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je syntetický, prémiový motorový olej s nízkym obsahom sulfátového popola, síry a</w:t>
            </w:r>
            <w:r w:rsid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fosforu (</w:t>
            </w:r>
            <w:proofErr w:type="spellStart"/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Low</w:t>
            </w:r>
            <w:proofErr w:type="spellEnd"/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SAPS), pre najmodernejšie úžitkové vozidlá. Zachováva si svoje vynikajúce vlastnosti aj pri trvalo</w:t>
            </w:r>
            <w:r w:rsid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vysokých teplotách motora, vďaka vysokej oxidačnej stabilite syntetických olejov. Zaisťuje vynikajúcu ochranu</w:t>
            </w:r>
            <w:r w:rsid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motora aj pre dlhé výmenné intervaly oleja. Spĺňa požiadavky širokého rozsahu výkonnostných úrovní výrobcov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motorov spoločne s najprísnejšími americkými a európskymi špecifikáciami pre naftové motorové oleje. Odporúča</w:t>
            </w:r>
            <w:r w:rsid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sa najmä pre motorové vozidlá, ktoré sú vyrábané so systémami čistenia výfukových plynov, ktoré vyhovujú</w:t>
            </w:r>
            <w:r w:rsid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emisným požiadavkám noriem Euro IV, Euro V a Euro VI.</w:t>
            </w:r>
          </w:p>
        </w:tc>
      </w:tr>
      <w:tr w:rsidR="002179B6" w:rsidTr="006237B8">
        <w:trPr>
          <w:trHeight w:val="1008"/>
        </w:trPr>
        <w:tc>
          <w:tcPr>
            <w:tcW w:w="1542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30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</w:tcPr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Úžitkové vozidlá vybavené systémami EGR (spätná cirkulácia výfukových plynov), SCR (selektívna katalytická redukcia), filtrom pevných častíc (DPF) a/alebo dieselovým oxidačným katalyzátorom </w:t>
            </w:r>
            <w:bookmarkStart w:id="0" w:name="_GoBack"/>
            <w:bookmarkEnd w:id="0"/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(DOC).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Motory úžitkových vozidiel poháňané palivom s nízkym a </w:t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ultra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nízkym obsahom síry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Vysoko výkonné preplňované alebo nepreplňované motory úžitkových vozidiel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autobusov a úžitkových vozidiel, ktoré jazdia na krátkych a dlhých trasách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banských, stavebných a poľnohospodárskych strojov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Železničné a lodné naftové motory pracujúce pri nízkych otáčkach a vysokom zaťažení</w:t>
            </w:r>
          </w:p>
          <w:p w:rsidR="002179B6" w:rsidRPr="000D7F95" w:rsidRDefault="002179B6" w:rsidP="006237B8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</w:p>
        </w:tc>
      </w:tr>
      <w:tr w:rsidR="002179B6" w:rsidRPr="00BB0B41" w:rsidTr="006237B8">
        <w:tc>
          <w:tcPr>
            <w:tcW w:w="1542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30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2"/>
              <w:gridCol w:w="5328"/>
            </w:tblGrid>
            <w:tr w:rsidR="006237B8" w:rsidRPr="006237B8" w:rsidTr="00623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obsah popola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Zaručuje dlhú životnosť systémov dodatočnej úpravy výfukových plynov</w:t>
                  </w:r>
                </w:p>
              </w:tc>
            </w:tr>
            <w:tr w:rsidR="006237B8" w:rsidRPr="006237B8" w:rsidTr="00623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frekvenciu prestojov, prevádzkových nákladov a znečistenie životného prostredia</w:t>
                  </w:r>
                </w:p>
              </w:tc>
            </w:tr>
            <w:tr w:rsidR="006237B8" w:rsidRPr="006237B8" w:rsidTr="00623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prchavosť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Nižšia spotreba oleja a zníženie emisií škodlivých látok</w:t>
                  </w:r>
                </w:p>
              </w:tc>
            </w:tr>
            <w:tr w:rsidR="006237B8" w:rsidRPr="006237B8" w:rsidTr="00623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ľahké štartovanie aj v extrémnom chlade, zvyšuje životnosť autobatérie</w:t>
                  </w:r>
                </w:p>
              </w:tc>
            </w:tr>
            <w:tr w:rsidR="006237B8" w:rsidRPr="006237B8" w:rsidTr="00623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manipulácia so sadzami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Ochrana proti usadeninám sadzí a lešteniu</w:t>
                  </w:r>
                </w:p>
              </w:tc>
            </w:tr>
            <w:tr w:rsidR="006237B8" w:rsidRPr="006237B8" w:rsidTr="00623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7B8" w:rsidRPr="006237B8" w:rsidRDefault="006237B8" w:rsidP="006237B8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tvorbu kalu pri nízkych teplotách a usadenín pri vysokých teplotách</w:t>
                  </w:r>
                </w:p>
              </w:tc>
            </w:tr>
          </w:tbl>
          <w:p w:rsidR="006237B8" w:rsidRPr="006237B8" w:rsidRDefault="006237B8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6237B8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237B8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237B8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6237B8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6237B8"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63</w:t>
                  </w:r>
                </w:p>
              </w:tc>
            </w:tr>
            <w:tr w:rsidR="00FC1CBD" w:rsidRPr="006237B8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6237B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101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6237B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14,7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80585D" w:rsidP="006237B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6237B8"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6237B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-33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237B8"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  <w:r w:rsidR="0080585D"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</w:t>
                  </w:r>
                  <w:r w:rsidR="006237B8"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,1</w:t>
                  </w:r>
                </w:p>
              </w:tc>
            </w:tr>
          </w:tbl>
          <w:p w:rsidR="002179B6" w:rsidRPr="006237B8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6237B8">
        <w:trPr>
          <w:trHeight w:val="557"/>
        </w:trPr>
        <w:tc>
          <w:tcPr>
            <w:tcW w:w="1542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3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6237B8" w:rsidRDefault="006237B8" w:rsidP="006237B8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10W-40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CI-4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MB-Approval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228.51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VDS-3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Tatra TDS 40/16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RLD-2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MTU Type 3.1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Mack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EO-N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E7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E6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ACEA E4-99 </w:t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Issue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JASO DH-2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3477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3271-1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RGD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RXD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DAF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Deutz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DQC III-10LA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Deutz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DQC IV-10LA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E9</w:t>
            </w:r>
          </w:p>
        </w:tc>
      </w:tr>
      <w:tr w:rsidR="002179B6" w:rsidTr="006237B8">
        <w:trPr>
          <w:trHeight w:val="3496"/>
        </w:trPr>
        <w:tc>
          <w:tcPr>
            <w:tcW w:w="1542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30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4" w:space="0" w:color="auto"/>
              <w:bottom w:val="nil"/>
            </w:tcBorders>
          </w:tcPr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DE" w:rsidRDefault="00CA4BDE" w:rsidP="002179B6">
      <w:pPr>
        <w:spacing w:before="0" w:after="0" w:line="240" w:lineRule="auto"/>
      </w:pPr>
      <w:r>
        <w:separator/>
      </w:r>
    </w:p>
  </w:endnote>
  <w:endnote w:type="continuationSeparator" w:id="0">
    <w:p w:rsidR="00CA4BDE" w:rsidRDefault="00CA4BD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6C0F">
          <w:rPr>
            <w:noProof/>
          </w:rPr>
          <w:t>2</w:t>
        </w:r>
        <w:r>
          <w:fldChar w:fldCharType="end"/>
        </w:r>
        <w:r w:rsidR="000D7F95"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DE" w:rsidRDefault="00CA4BDE" w:rsidP="002179B6">
      <w:pPr>
        <w:spacing w:before="0" w:after="0" w:line="240" w:lineRule="auto"/>
      </w:pPr>
      <w:r>
        <w:separator/>
      </w:r>
    </w:p>
  </w:footnote>
  <w:footnote w:type="continuationSeparator" w:id="0">
    <w:p w:rsidR="00CA4BDE" w:rsidRDefault="00CA4BD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B5D"/>
    <w:multiLevelType w:val="multilevel"/>
    <w:tmpl w:val="3B4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121B7"/>
    <w:multiLevelType w:val="multilevel"/>
    <w:tmpl w:val="2B4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F25AD"/>
    <w:multiLevelType w:val="multilevel"/>
    <w:tmpl w:val="1D58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B4848"/>
    <w:multiLevelType w:val="multilevel"/>
    <w:tmpl w:val="8B1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D2614"/>
    <w:multiLevelType w:val="multilevel"/>
    <w:tmpl w:val="152C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A64E4"/>
    <w:multiLevelType w:val="multilevel"/>
    <w:tmpl w:val="9E44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20F4B"/>
    <w:multiLevelType w:val="multilevel"/>
    <w:tmpl w:val="CC1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540C1"/>
    <w:multiLevelType w:val="multilevel"/>
    <w:tmpl w:val="DDE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D567F"/>
    <w:multiLevelType w:val="multilevel"/>
    <w:tmpl w:val="FB8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81657"/>
    <w:multiLevelType w:val="multilevel"/>
    <w:tmpl w:val="855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61888"/>
    <w:multiLevelType w:val="multilevel"/>
    <w:tmpl w:val="B41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A635A8"/>
    <w:multiLevelType w:val="multilevel"/>
    <w:tmpl w:val="697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A2227"/>
    <w:multiLevelType w:val="multilevel"/>
    <w:tmpl w:val="D5C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023CA0"/>
    <w:multiLevelType w:val="multilevel"/>
    <w:tmpl w:val="330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292452"/>
    <w:multiLevelType w:val="multilevel"/>
    <w:tmpl w:val="21E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12"/>
  </w:num>
  <w:num w:numId="6">
    <w:abstractNumId w:val="8"/>
  </w:num>
  <w:num w:numId="7">
    <w:abstractNumId w:val="0"/>
  </w:num>
  <w:num w:numId="8">
    <w:abstractNumId w:val="16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B486B"/>
    <w:rsid w:val="000D7F95"/>
    <w:rsid w:val="0015326D"/>
    <w:rsid w:val="001661FE"/>
    <w:rsid w:val="002179B6"/>
    <w:rsid w:val="00223119"/>
    <w:rsid w:val="00233269"/>
    <w:rsid w:val="002C6114"/>
    <w:rsid w:val="002E7F35"/>
    <w:rsid w:val="00306C22"/>
    <w:rsid w:val="00327E21"/>
    <w:rsid w:val="00457AD8"/>
    <w:rsid w:val="004704F4"/>
    <w:rsid w:val="00501327"/>
    <w:rsid w:val="00581E39"/>
    <w:rsid w:val="005B1B77"/>
    <w:rsid w:val="005C7B6C"/>
    <w:rsid w:val="005E6B8C"/>
    <w:rsid w:val="005F7D4E"/>
    <w:rsid w:val="006237B8"/>
    <w:rsid w:val="00631722"/>
    <w:rsid w:val="006559EA"/>
    <w:rsid w:val="006A78FE"/>
    <w:rsid w:val="006D7EAB"/>
    <w:rsid w:val="007375B5"/>
    <w:rsid w:val="00780614"/>
    <w:rsid w:val="00784C94"/>
    <w:rsid w:val="0080585D"/>
    <w:rsid w:val="008407C0"/>
    <w:rsid w:val="00964E51"/>
    <w:rsid w:val="00986B26"/>
    <w:rsid w:val="009C4A3A"/>
    <w:rsid w:val="00A35AE2"/>
    <w:rsid w:val="00B24BA1"/>
    <w:rsid w:val="00B26C0F"/>
    <w:rsid w:val="00B70311"/>
    <w:rsid w:val="00BA0B2B"/>
    <w:rsid w:val="00BD2AC0"/>
    <w:rsid w:val="00C5240C"/>
    <w:rsid w:val="00C728C1"/>
    <w:rsid w:val="00CA3898"/>
    <w:rsid w:val="00CA4BDE"/>
    <w:rsid w:val="00D031CB"/>
    <w:rsid w:val="00D63ED3"/>
    <w:rsid w:val="00EC3EA0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94475"/>
    <w:rsid w:val="000B6C5E"/>
    <w:rsid w:val="000C5133"/>
    <w:rsid w:val="000D1AE6"/>
    <w:rsid w:val="00315642"/>
    <w:rsid w:val="004171D9"/>
    <w:rsid w:val="00687541"/>
    <w:rsid w:val="00AE7377"/>
    <w:rsid w:val="00BF199F"/>
    <w:rsid w:val="00CC37A6"/>
    <w:rsid w:val="00D0731B"/>
    <w:rsid w:val="00D238A2"/>
    <w:rsid w:val="00D96BD1"/>
    <w:rsid w:val="00DC19F2"/>
    <w:rsid w:val="00E11380"/>
    <w:rsid w:val="00F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Top Diesel MS 10W-40</dc:creator>
  <cp:lastModifiedBy>AUTEX-ZA</cp:lastModifiedBy>
  <cp:revision>5</cp:revision>
  <cp:lastPrinted>2019-03-12T13:42:00Z</cp:lastPrinted>
  <dcterms:created xsi:type="dcterms:W3CDTF">2022-03-28T18:23:00Z</dcterms:created>
  <dcterms:modified xsi:type="dcterms:W3CDTF">2022-04-22T04:18:00Z</dcterms:modified>
</cp:coreProperties>
</file>